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  <w:lang w:val="en-US"/>
        </w:rPr>
        <w:t>28.12.2016</w:t>
      </w:r>
      <w:r>
        <w:rPr>
          <w:rFonts w:ascii="Times New Roman" w:hAnsi="Times New Roman"/>
          <w:b w:val="false"/>
          <w:sz w:val="28"/>
          <w:szCs w:val="28"/>
          <w:lang w:val="ru-RU"/>
        </w:rPr>
        <w:t>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с. Шушь                                            № </w:t>
      </w:r>
      <w:r>
        <w:rPr>
          <w:rFonts w:ascii="Times New Roman" w:hAnsi="Times New Roman"/>
          <w:b w:val="false"/>
          <w:sz w:val="28"/>
          <w:szCs w:val="28"/>
        </w:rPr>
        <w:t>96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56 «Об утверждении муниципальной программы Шушенского сельсовета «Обеспечение транспортной доступности и коммунальными услугами граждан» 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02.08.2013г. № 18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56 «Об утверждении муниципальной программы Шушенского сельсовета «Обеспечение транспортной доступности и коммунальными услугами граждан»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Ю.Н.Голубидо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C085-32A3-48B2-92F8-C8E744DD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2016-01-17T09:39:00Z</cp:lastPrinted>
  <dcterms:modified xsi:type="dcterms:W3CDTF">2017-01-30T21:54:54Z</dcterms:modified>
  <cp:revision>170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